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F6ACB" w:rsidRPr="00DF6AC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F5DAF" w:rsidRPr="00DF6A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A1B" w:rsidRPr="00DF6AC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6604F" w:rsidRPr="00DF6A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 w:rsidRPr="00DF6AC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DF6AC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F6ACB" w:rsidRPr="00DF6ACB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DF6AC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63646C">
        <w:t>е в аукционе</w:t>
      </w:r>
      <w:r w:rsidR="008D54B4" w:rsidRPr="008D54B4">
        <w:t>:</w:t>
      </w:r>
    </w:p>
    <w:p w:rsidR="00365403" w:rsidRDefault="00CE28C8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rPr>
          <w:b/>
        </w:rPr>
        <w:t>12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 w:rsidR="00C07983">
        <w:rPr>
          <w:b/>
          <w:highlight w:val="yellow"/>
        </w:rPr>
        <w:t>04</w:t>
      </w:r>
      <w:r w:rsidR="008D54B4" w:rsidRPr="004D7DC2">
        <w:rPr>
          <w:b/>
          <w:highlight w:val="yellow"/>
        </w:rPr>
        <w:t>.</w:t>
      </w:r>
      <w:r w:rsidR="006D7D85">
        <w:rPr>
          <w:b/>
          <w:highlight w:val="yellow"/>
        </w:rPr>
        <w:t>04</w:t>
      </w:r>
      <w:r w:rsidR="003E0F5C" w:rsidRPr="004D7DC2">
        <w:rPr>
          <w:b/>
          <w:highlight w:val="yellow"/>
        </w:rPr>
        <w:t>.2023</w:t>
      </w:r>
      <w:r w:rsidR="008D54B4" w:rsidRPr="008F7B2A">
        <w:t xml:space="preserve">.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proofErr w:type="spellStart"/>
        <w:r w:rsidRPr="008F7B2A">
          <w:rPr>
            <w:rStyle w:val="a3"/>
            <w:lang w:val="en-US"/>
          </w:rPr>
          <w:t>utp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  <w:lang w:val="en-US"/>
          </w:rPr>
          <w:t>sberbank</w:t>
        </w:r>
        <w:proofErr w:type="spellEnd"/>
        <w:r w:rsidRPr="008F7B2A">
          <w:rPr>
            <w:rStyle w:val="a3"/>
          </w:rPr>
          <w:t>-</w:t>
        </w:r>
        <w:proofErr w:type="spellStart"/>
        <w:r w:rsidRPr="008F7B2A">
          <w:rPr>
            <w:rStyle w:val="a3"/>
            <w:lang w:val="en-US"/>
          </w:rPr>
          <w:t>ast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</w:rPr>
          <w:t>ru</w:t>
        </w:r>
        <w:proofErr w:type="spellEnd"/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CE28C8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C07983" w:rsidRPr="00C07983">
        <w:rPr>
          <w:rFonts w:ascii="Times New Roman" w:hAnsi="Times New Roman" w:cs="Times New Roman"/>
          <w:b/>
          <w:sz w:val="24"/>
          <w:szCs w:val="24"/>
        </w:rPr>
        <w:t>29</w:t>
      </w:r>
      <w:r w:rsidR="00F407E0" w:rsidRPr="00C0798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07983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DD7BB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  <w:r w:rsidR="00C07983">
        <w:rPr>
          <w:rFonts w:ascii="Times New Roman" w:hAnsi="Times New Roman" w:cs="Times New Roman"/>
          <w:b/>
          <w:sz w:val="24"/>
          <w:szCs w:val="24"/>
          <w:highlight w:val="yellow"/>
        </w:rPr>
        <w:t>02</w:t>
      </w:r>
      <w:r w:rsidR="006D7D85">
        <w:rPr>
          <w:rFonts w:ascii="Times New Roman" w:hAnsi="Times New Roman" w:cs="Times New Roman"/>
          <w:b/>
          <w:sz w:val="24"/>
          <w:szCs w:val="24"/>
          <w:highlight w:val="yellow"/>
        </w:rPr>
        <w:t>.05</w:t>
      </w:r>
      <w:r w:rsidR="003850C3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CE28C8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C07983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="006D7D85">
        <w:rPr>
          <w:rFonts w:ascii="Times New Roman" w:hAnsi="Times New Roman" w:cs="Times New Roman"/>
          <w:b/>
          <w:sz w:val="24"/>
          <w:szCs w:val="24"/>
          <w:highlight w:val="yellow"/>
        </w:rPr>
        <w:t>.05</w:t>
      </w:r>
      <w:r w:rsidR="003E0F5C"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2C24D2">
        <w:fldChar w:fldCharType="begin"/>
      </w:r>
      <w:r w:rsidR="002C5ABC">
        <w:instrText>HYPERLINK "http://www.sberbank-ast.ru/"</w:instrText>
      </w:r>
      <w:r w:rsidR="002C24D2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2C24D2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741D65" w:rsidRDefault="00741D65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Pr="00741D65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 Челябинская область, Ка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тав-Ивановский райо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>н, город Юрюзань, ул. Радужная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, № </w:t>
      </w:r>
      <w:r w:rsidR="00CE28C8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1319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="00CE28C8">
        <w:rPr>
          <w:rFonts w:ascii="Times New Roman" w:eastAsia="Times New Roman" w:hAnsi="Times New Roman" w:cs="Times New Roman"/>
          <w:sz w:val="24"/>
          <w:szCs w:val="24"/>
        </w:rPr>
        <w:t>74:10:0307001:18</w:t>
      </w:r>
      <w:r w:rsidR="006D7D8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строитель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 xml:space="preserve">ство отдельно стоящего жилого дома усадебного типа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 с приусадебным участком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ACB">
        <w:rPr>
          <w:rFonts w:ascii="Times New Roman" w:hAnsi="Times New Roman" w:cs="Times New Roman"/>
          <w:sz w:val="24"/>
          <w:szCs w:val="24"/>
        </w:rPr>
        <w:t xml:space="preserve">Инженерно - техническая обеспеченность: </w:t>
      </w:r>
      <w:proofErr w:type="gramStart"/>
      <w:r w:rsidRPr="00DF6ACB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="00DF6ACB">
        <w:rPr>
          <w:rFonts w:ascii="Times New Roman" w:hAnsi="Times New Roman" w:cs="Times New Roman"/>
          <w:sz w:val="24"/>
          <w:szCs w:val="24"/>
        </w:rPr>
        <w:t xml:space="preserve">Водоснабжение - </w:t>
      </w:r>
      <w:r w:rsidRPr="00DF6ACB">
        <w:rPr>
          <w:rFonts w:ascii="Times New Roman" w:hAnsi="Times New Roman" w:cs="Times New Roman"/>
          <w:sz w:val="24"/>
          <w:szCs w:val="24"/>
        </w:rPr>
        <w:t>имеется</w:t>
      </w:r>
      <w:r w:rsidR="00DF6ACB">
        <w:rPr>
          <w:rFonts w:ascii="Times New Roman" w:hAnsi="Times New Roman" w:cs="Times New Roman"/>
          <w:sz w:val="24"/>
          <w:szCs w:val="24"/>
        </w:rPr>
        <w:t xml:space="preserve"> возможность; Водоотведение -</w:t>
      </w:r>
      <w:r w:rsidRPr="00DF6ACB">
        <w:rPr>
          <w:rFonts w:ascii="Times New Roman" w:hAnsi="Times New Roman" w:cs="Times New Roman"/>
          <w:sz w:val="24"/>
          <w:szCs w:val="24"/>
        </w:rPr>
        <w:t xml:space="preserve"> имеется возможность; Электроснабжение - имеется возможность</w:t>
      </w:r>
      <w:r w:rsidR="001A06D9" w:rsidRPr="00DF6A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63646C" w:rsidRDefault="00950ED1" w:rsidP="009C3AD5">
      <w:pPr>
        <w:pStyle w:val="a4"/>
        <w:spacing w:after="0"/>
        <w:ind w:firstLine="709"/>
        <w:jc w:val="both"/>
      </w:pPr>
      <w:r>
        <w:lastRenderedPageBreak/>
        <w:t>Начальная цена</w:t>
      </w:r>
      <w:r w:rsidR="00980774" w:rsidRPr="008F7B2A">
        <w:t xml:space="preserve"> за земельный участок составляет</w:t>
      </w:r>
      <w:r w:rsidR="00CE28C8">
        <w:t xml:space="preserve"> 202835</w:t>
      </w:r>
      <w:r w:rsidR="0029061B">
        <w:t>(</w:t>
      </w:r>
      <w:r w:rsidR="00CE28C8">
        <w:t>двести две тысячи восемьсот тридцать пять) рублей 82</w:t>
      </w:r>
      <w:r w:rsidR="006D7D85">
        <w:t xml:space="preserve"> копей</w:t>
      </w:r>
      <w:r w:rsidR="0063646C" w:rsidRPr="0063646C">
        <w:t>к</w:t>
      </w:r>
      <w:r w:rsidR="006D7D85">
        <w:t>и</w:t>
      </w:r>
      <w:r w:rsidR="0063646C" w:rsidRPr="0063646C">
        <w:t>.</w:t>
      </w:r>
    </w:p>
    <w:p w:rsidR="0063646C" w:rsidRPr="006D7D85" w:rsidRDefault="00980774" w:rsidP="009C3AD5">
      <w:pPr>
        <w:pStyle w:val="a4"/>
        <w:spacing w:after="0"/>
        <w:ind w:firstLine="709"/>
        <w:jc w:val="both"/>
      </w:pPr>
      <w:r w:rsidRPr="008F7B2A">
        <w:t xml:space="preserve">  </w:t>
      </w:r>
      <w:r w:rsidR="00DD7BBB">
        <w:t>С</w:t>
      </w:r>
      <w:r w:rsidR="009C3AD5">
        <w:t xml:space="preserve">умма задатка: </w:t>
      </w:r>
      <w:r w:rsidRPr="008F7B2A">
        <w:t>30 пр</w:t>
      </w:r>
      <w:r w:rsidR="00950ED1">
        <w:t>оцентов от начальной цены</w:t>
      </w:r>
      <w:r w:rsidRPr="008F7B2A">
        <w:t xml:space="preserve"> и составляет </w:t>
      </w:r>
      <w:r w:rsidR="00CE28C8">
        <w:t>60850(шестьдесят тысяч восемьсот пятьдесят</w:t>
      </w:r>
      <w:r w:rsidR="006D7D85" w:rsidRPr="006D7D85">
        <w:t>) рублей 7</w:t>
      </w:r>
      <w:r w:rsidR="00CE28C8">
        <w:t>5</w:t>
      </w:r>
      <w:r w:rsidR="0063646C" w:rsidRPr="006D7D85">
        <w:t xml:space="preserve"> копеек;</w:t>
      </w:r>
    </w:p>
    <w:p w:rsidR="007C1498" w:rsidRDefault="009C3AD5" w:rsidP="009C3AD5">
      <w:pPr>
        <w:pStyle w:val="a4"/>
        <w:spacing w:after="0"/>
        <w:ind w:firstLine="709"/>
        <w:jc w:val="both"/>
      </w:pPr>
      <w:r w:rsidRPr="006D7D85">
        <w:t>Шаг аукциона:</w:t>
      </w:r>
      <w:r w:rsidR="00950ED1" w:rsidRPr="006D7D85">
        <w:t xml:space="preserve"> 3 процента от начальной цены</w:t>
      </w:r>
      <w:r w:rsidR="00690622" w:rsidRPr="006D7D85">
        <w:t xml:space="preserve"> </w:t>
      </w:r>
      <w:r w:rsidR="00980774" w:rsidRPr="006D7D85">
        <w:t>в фиксированной</w:t>
      </w:r>
      <w:r w:rsidR="00A25ADE" w:rsidRPr="006D7D85">
        <w:t xml:space="preserve"> </w:t>
      </w:r>
      <w:r w:rsidR="00980774" w:rsidRPr="006D7D85">
        <w:t>сумме</w:t>
      </w:r>
      <w:r w:rsidR="001A607B" w:rsidRPr="006D7D85">
        <w:t xml:space="preserve"> </w:t>
      </w:r>
      <w:r w:rsidR="00CE28C8">
        <w:t>6085</w:t>
      </w:r>
      <w:r w:rsidR="0063646C" w:rsidRPr="006D7D85">
        <w:t>(</w:t>
      </w:r>
      <w:r w:rsidR="00CE28C8">
        <w:t>шесть тысяч восемьдесят пять) рублей 0</w:t>
      </w:r>
      <w:r w:rsidR="006D7D85" w:rsidRPr="006D7D85">
        <w:t>7</w:t>
      </w:r>
      <w:r w:rsidR="00DD7BBB" w:rsidRPr="006D7D85">
        <w:t xml:space="preserve"> </w:t>
      </w:r>
      <w:r w:rsidR="00950ED1" w:rsidRPr="006D7D85">
        <w:t xml:space="preserve">копеек </w:t>
      </w:r>
      <w:r w:rsidR="00980774" w:rsidRPr="006D7D85">
        <w:t xml:space="preserve"> и не изменяется в течение </w:t>
      </w:r>
      <w:r w:rsidR="00690622" w:rsidRPr="006D7D85">
        <w:t xml:space="preserve"> </w:t>
      </w:r>
      <w:r w:rsidR="00980774" w:rsidRPr="006D7D85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1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lastRenderedPageBreak/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CE28C8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62A30">
        <w:rPr>
          <w:rFonts w:ascii="Times New Roman" w:hAnsi="Times New Roman" w:cs="Times New Roman"/>
          <w:b/>
          <w:sz w:val="24"/>
          <w:szCs w:val="24"/>
          <w:highlight w:val="yellow"/>
        </w:rPr>
        <w:t>29.04</w:t>
      </w:r>
      <w:r w:rsidR="003E0F5C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lastRenderedPageBreak/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>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</w:t>
      </w:r>
      <w:proofErr w:type="gramEnd"/>
      <w:r w:rsidRPr="00764E5F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 xml:space="preserve"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</w:t>
      </w:r>
      <w:r w:rsidRPr="00042751">
        <w:rPr>
          <w:rFonts w:ascii="Times New Roman" w:hAnsi="Times New Roman" w:cs="Times New Roman"/>
          <w:sz w:val="24"/>
          <w:szCs w:val="24"/>
        </w:rPr>
        <w:lastRenderedPageBreak/>
        <w:t>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</w:t>
      </w: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 xml:space="preserve">. Признание аукциона </w:t>
      </w:r>
      <w:proofErr w:type="gramStart"/>
      <w:r w:rsidR="00960789" w:rsidRPr="0096078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на основании  результатов  рассмотрения заявок принято решение  об отказе  в  допуске к  участию  в  аукционе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960789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2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3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BF062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5. Иные документы, представляемые по желанию Претендента в составе </w:t>
      </w:r>
      <w:r w:rsidRPr="00652DAA">
        <w:rPr>
          <w:rFonts w:ascii="Times New Roman" w:hAnsi="Times New Roman" w:cs="Times New Roman"/>
          <w:sz w:val="24"/>
          <w:szCs w:val="24"/>
        </w:rPr>
        <w:lastRenderedPageBreak/>
        <w:t>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Pr="00CF7F50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BF062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                                                                             «_____» ___________2023года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 w:rsidR="00FD1A89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 w:rsidR="009C3AD5"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 w:rsidR="009C3AD5"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 w:rsidR="009C3AD5">
        <w:rPr>
          <w:rFonts w:ascii="Times New Roman" w:hAnsi="Times New Roman" w:cs="Times New Roman"/>
          <w:sz w:val="24"/>
          <w:szCs w:val="24"/>
        </w:rPr>
        <w:t xml:space="preserve">от </w:t>
      </w:r>
      <w:r w:rsidR="009C3AD5" w:rsidRPr="001E7DD0">
        <w:rPr>
          <w:rFonts w:ascii="Times New Roman" w:hAnsi="Times New Roman" w:cs="Times New Roman"/>
          <w:sz w:val="24"/>
          <w:szCs w:val="24"/>
        </w:rPr>
        <w:t xml:space="preserve">13.05.2019 </w:t>
      </w:r>
      <w:r w:rsidRPr="001E7DD0">
        <w:rPr>
          <w:rFonts w:ascii="Times New Roman" w:hAnsi="Times New Roman" w:cs="Times New Roman"/>
          <w:sz w:val="24"/>
          <w:szCs w:val="24"/>
        </w:rPr>
        <w:t>№ 33к, именуемый в дальнейшем «Продавец», с одной стороны, и</w:t>
      </w: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9C3AD5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782CD3" w:rsidRPr="001E7DD0" w:rsidRDefault="009C3AD5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E7DD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итогового протокола </w:t>
      </w:r>
      <w:r w:rsidRPr="001E7DD0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по продаже земельного участка от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г. № __.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заключили нас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тоящей договор </w:t>
      </w: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9611B0" w:rsidRPr="001E7DD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="00A95DC8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95DC8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DC8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A95DC8" w:rsidRPr="001E7DD0">
        <w:rPr>
          <w:rFonts w:ascii="Times New Roman" w:hAnsi="Times New Roman" w:cs="Times New Roman"/>
          <w:sz w:val="24"/>
          <w:szCs w:val="24"/>
        </w:rPr>
        <w:t xml:space="preserve">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.№ 03100643000000016900 в отделении Челябинск 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6133FC" w:rsidRPr="006133FC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6133FC" w:rsidRPr="001E7DD0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 xml:space="preserve"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6133F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133FC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1347EF" w:rsidRPr="003712C8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FD1A89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FD1A89" w:rsidRPr="00FD1A89">
        <w:rPr>
          <w:rFonts w:ascii="Times New Roman" w:hAnsi="Times New Roman" w:cs="Times New Roman"/>
          <w:sz w:val="24"/>
          <w:szCs w:val="24"/>
        </w:rPr>
        <w:t>р</w:t>
      </w:r>
      <w:r w:rsidRPr="00FD1A89">
        <w:rPr>
          <w:rFonts w:ascii="Times New Roman" w:hAnsi="Times New Roman" w:cs="Times New Roman"/>
          <w:sz w:val="24"/>
          <w:szCs w:val="24"/>
        </w:rPr>
        <w:t>юзань                                                                                            «_____»__________2023г.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7DD0">
        <w:rPr>
          <w:rFonts w:ascii="Times New Roman" w:hAnsi="Times New Roman" w:cs="Times New Roman"/>
          <w:sz w:val="24"/>
          <w:szCs w:val="24"/>
        </w:rPr>
        <w:t>13.05.2019 № 33к, именуемый в дальнейшем «Продавец», с одной стороны, и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89" w:rsidRDefault="00FD1A89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18" w:rsidRPr="00134418">
        <w:rPr>
          <w:rFonts w:ascii="Times New Roman" w:hAnsi="Times New Roman" w:cs="Times New Roman"/>
          <w:sz w:val="24"/>
          <w:szCs w:val="24"/>
        </w:rPr>
        <w:t xml:space="preserve">подписали настоящий Акт </w:t>
      </w:r>
      <w:r w:rsidRPr="003712C8">
        <w:rPr>
          <w:rFonts w:ascii="Times New Roman" w:hAnsi="Times New Roman" w:cs="Times New Roman"/>
          <w:sz w:val="24"/>
          <w:szCs w:val="24"/>
        </w:rPr>
        <w:t xml:space="preserve">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3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134418" w:rsidRPr="00134418">
        <w:rPr>
          <w:rFonts w:ascii="Times New Roman" w:hAnsi="Times New Roman" w:cs="Times New Roman"/>
          <w:sz w:val="24"/>
          <w:szCs w:val="24"/>
        </w:rPr>
        <w:t>о том, что Продавец передает, а Покупатель принимает земельн</w:t>
      </w:r>
      <w:r w:rsidR="00134418">
        <w:rPr>
          <w:rFonts w:ascii="Times New Roman" w:hAnsi="Times New Roman" w:cs="Times New Roman"/>
          <w:sz w:val="24"/>
          <w:szCs w:val="24"/>
        </w:rPr>
        <w:t xml:space="preserve">ый </w:t>
      </w:r>
      <w:r w:rsidRPr="001E7DD0">
        <w:rPr>
          <w:rFonts w:ascii="Times New Roman" w:hAnsi="Times New Roman" w:cs="Times New Roman"/>
          <w:sz w:val="24"/>
          <w:szCs w:val="24"/>
        </w:rPr>
        <w:t>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24" w:rsidRDefault="00BF0624" w:rsidP="00A13919">
      <w:pPr>
        <w:spacing w:after="0" w:line="240" w:lineRule="auto"/>
      </w:pPr>
      <w:r>
        <w:separator/>
      </w:r>
    </w:p>
  </w:endnote>
  <w:endnote w:type="continuationSeparator" w:id="0">
    <w:p w:rsidR="00BF0624" w:rsidRDefault="00BF0624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24" w:rsidRDefault="00BF0624" w:rsidP="00A13919">
      <w:pPr>
        <w:spacing w:after="0" w:line="240" w:lineRule="auto"/>
      </w:pPr>
      <w:r>
        <w:separator/>
      </w:r>
    </w:p>
  </w:footnote>
  <w:footnote w:type="continuationSeparator" w:id="0">
    <w:p w:rsidR="00BF0624" w:rsidRDefault="00BF0624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CE6"/>
    <w:rsid w:val="00104150"/>
    <w:rsid w:val="001172AD"/>
    <w:rsid w:val="00127920"/>
    <w:rsid w:val="00134365"/>
    <w:rsid w:val="00134418"/>
    <w:rsid w:val="001347EF"/>
    <w:rsid w:val="00150357"/>
    <w:rsid w:val="0015104B"/>
    <w:rsid w:val="00153594"/>
    <w:rsid w:val="00162E20"/>
    <w:rsid w:val="00164587"/>
    <w:rsid w:val="0016604F"/>
    <w:rsid w:val="00166729"/>
    <w:rsid w:val="001812A7"/>
    <w:rsid w:val="0018417B"/>
    <w:rsid w:val="001927F4"/>
    <w:rsid w:val="001A06D9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200406"/>
    <w:rsid w:val="00202A68"/>
    <w:rsid w:val="00213590"/>
    <w:rsid w:val="00220814"/>
    <w:rsid w:val="00245B92"/>
    <w:rsid w:val="00251A1C"/>
    <w:rsid w:val="00257099"/>
    <w:rsid w:val="00257A0B"/>
    <w:rsid w:val="002767D8"/>
    <w:rsid w:val="00286333"/>
    <w:rsid w:val="0029061B"/>
    <w:rsid w:val="00290A1B"/>
    <w:rsid w:val="002A238E"/>
    <w:rsid w:val="002B5ACA"/>
    <w:rsid w:val="002C1BB7"/>
    <w:rsid w:val="002C24D2"/>
    <w:rsid w:val="002C5ABC"/>
    <w:rsid w:val="002D21E5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5403"/>
    <w:rsid w:val="00366D21"/>
    <w:rsid w:val="003701BA"/>
    <w:rsid w:val="003712C8"/>
    <w:rsid w:val="00374C08"/>
    <w:rsid w:val="003850C3"/>
    <w:rsid w:val="00390F04"/>
    <w:rsid w:val="003A52CF"/>
    <w:rsid w:val="003B363F"/>
    <w:rsid w:val="003C0B3D"/>
    <w:rsid w:val="003D0E5F"/>
    <w:rsid w:val="003D104A"/>
    <w:rsid w:val="003D38DB"/>
    <w:rsid w:val="003D4D46"/>
    <w:rsid w:val="003E0F5C"/>
    <w:rsid w:val="004074CF"/>
    <w:rsid w:val="00426A66"/>
    <w:rsid w:val="004302AF"/>
    <w:rsid w:val="00432584"/>
    <w:rsid w:val="00443D2E"/>
    <w:rsid w:val="00451DDF"/>
    <w:rsid w:val="00452170"/>
    <w:rsid w:val="004545EF"/>
    <w:rsid w:val="00460852"/>
    <w:rsid w:val="00462A30"/>
    <w:rsid w:val="00466A72"/>
    <w:rsid w:val="00477B64"/>
    <w:rsid w:val="004855E9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59DD"/>
    <w:rsid w:val="005E777B"/>
    <w:rsid w:val="005F1518"/>
    <w:rsid w:val="005F2948"/>
    <w:rsid w:val="005F59B5"/>
    <w:rsid w:val="005F7291"/>
    <w:rsid w:val="006038FC"/>
    <w:rsid w:val="006133FC"/>
    <w:rsid w:val="00631B3E"/>
    <w:rsid w:val="00633FAB"/>
    <w:rsid w:val="0063646C"/>
    <w:rsid w:val="00637854"/>
    <w:rsid w:val="006400AE"/>
    <w:rsid w:val="00651B33"/>
    <w:rsid w:val="00652DAA"/>
    <w:rsid w:val="00664EE7"/>
    <w:rsid w:val="006704DC"/>
    <w:rsid w:val="00670BAF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D7D85"/>
    <w:rsid w:val="006E0F7E"/>
    <w:rsid w:val="00703F91"/>
    <w:rsid w:val="00704AB7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71ABB"/>
    <w:rsid w:val="00776507"/>
    <w:rsid w:val="00782CD3"/>
    <w:rsid w:val="00795465"/>
    <w:rsid w:val="007A33C4"/>
    <w:rsid w:val="007A5833"/>
    <w:rsid w:val="007A5D79"/>
    <w:rsid w:val="007A6677"/>
    <w:rsid w:val="007A7E7F"/>
    <w:rsid w:val="007C1498"/>
    <w:rsid w:val="007C6492"/>
    <w:rsid w:val="007C6ACD"/>
    <w:rsid w:val="007D2FC3"/>
    <w:rsid w:val="007D4FC1"/>
    <w:rsid w:val="007E3D96"/>
    <w:rsid w:val="007E44D3"/>
    <w:rsid w:val="007F0C5B"/>
    <w:rsid w:val="007F1661"/>
    <w:rsid w:val="00811E62"/>
    <w:rsid w:val="00814397"/>
    <w:rsid w:val="008174E5"/>
    <w:rsid w:val="00826BE2"/>
    <w:rsid w:val="008277CE"/>
    <w:rsid w:val="008335EF"/>
    <w:rsid w:val="00854EC7"/>
    <w:rsid w:val="00861021"/>
    <w:rsid w:val="0086200B"/>
    <w:rsid w:val="008645C5"/>
    <w:rsid w:val="00881225"/>
    <w:rsid w:val="00884F4A"/>
    <w:rsid w:val="00885A21"/>
    <w:rsid w:val="008869F9"/>
    <w:rsid w:val="00890D53"/>
    <w:rsid w:val="008929C9"/>
    <w:rsid w:val="00895580"/>
    <w:rsid w:val="008A11BF"/>
    <w:rsid w:val="008A1473"/>
    <w:rsid w:val="008A7AA4"/>
    <w:rsid w:val="008D4D50"/>
    <w:rsid w:val="008D54B4"/>
    <w:rsid w:val="008E246E"/>
    <w:rsid w:val="008E6DBA"/>
    <w:rsid w:val="008F46A1"/>
    <w:rsid w:val="008F5DAF"/>
    <w:rsid w:val="008F7AF4"/>
    <w:rsid w:val="008F7B2A"/>
    <w:rsid w:val="009009ED"/>
    <w:rsid w:val="00905862"/>
    <w:rsid w:val="00913DE7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70254"/>
    <w:rsid w:val="0097107D"/>
    <w:rsid w:val="00971A9F"/>
    <w:rsid w:val="0097200E"/>
    <w:rsid w:val="00972377"/>
    <w:rsid w:val="00976C5A"/>
    <w:rsid w:val="00980774"/>
    <w:rsid w:val="00982522"/>
    <w:rsid w:val="00991971"/>
    <w:rsid w:val="009949D0"/>
    <w:rsid w:val="009A31AF"/>
    <w:rsid w:val="009A32DA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383C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7205"/>
    <w:rsid w:val="00BF0624"/>
    <w:rsid w:val="00BF0E7C"/>
    <w:rsid w:val="00BF1B6C"/>
    <w:rsid w:val="00C059DD"/>
    <w:rsid w:val="00C07983"/>
    <w:rsid w:val="00C10E56"/>
    <w:rsid w:val="00C13A3D"/>
    <w:rsid w:val="00C31A1E"/>
    <w:rsid w:val="00C36425"/>
    <w:rsid w:val="00C4196E"/>
    <w:rsid w:val="00C42984"/>
    <w:rsid w:val="00C43067"/>
    <w:rsid w:val="00C44C7B"/>
    <w:rsid w:val="00C47F77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C6C2C"/>
    <w:rsid w:val="00CD1AA5"/>
    <w:rsid w:val="00CD2B6C"/>
    <w:rsid w:val="00CD6C4A"/>
    <w:rsid w:val="00CE28C8"/>
    <w:rsid w:val="00CE64CF"/>
    <w:rsid w:val="00CF7F50"/>
    <w:rsid w:val="00D002C5"/>
    <w:rsid w:val="00D01AB2"/>
    <w:rsid w:val="00D157D2"/>
    <w:rsid w:val="00D43EC4"/>
    <w:rsid w:val="00D51C47"/>
    <w:rsid w:val="00D54F62"/>
    <w:rsid w:val="00D62511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DF6ACB"/>
    <w:rsid w:val="00E06E4B"/>
    <w:rsid w:val="00E06EC4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64C1"/>
    <w:rsid w:val="00E92788"/>
    <w:rsid w:val="00E92F8E"/>
    <w:rsid w:val="00E96C1D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07E0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new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D89B-BDCD-4393-AA06-6873B87F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24</cp:revision>
  <cp:lastPrinted>2023-03-29T10:09:00Z</cp:lastPrinted>
  <dcterms:created xsi:type="dcterms:W3CDTF">2023-03-09T11:19:00Z</dcterms:created>
  <dcterms:modified xsi:type="dcterms:W3CDTF">2023-03-29T10:09:00Z</dcterms:modified>
</cp:coreProperties>
</file>